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電子書一批》共</w:t>
      </w:r>
      <w:r w:rsidR="00F564A4">
        <w:rPr>
          <w:rFonts w:asciiTheme="minorHAnsi" w:eastAsia="微軟正黑體" w:hAnsiTheme="minorHAnsi" w:cstheme="minorHAnsi" w:hint="eastAsia"/>
          <w:szCs w:val="24"/>
        </w:rPr>
        <w:t>234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F564A4">
        <w:rPr>
          <w:rFonts w:asciiTheme="minorHAnsi" w:eastAsia="微軟正黑體" w:hAnsiTheme="minorHAnsi" w:cstheme="minorHAnsi" w:hint="eastAsia"/>
          <w:szCs w:val="24"/>
        </w:rPr>
        <w:t>/237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F564A4" w:rsidRDefault="00F1550B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  <w:r w:rsidRPr="00F564A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 w:rsidRPr="00F564A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F564A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213"/>
        <w:gridCol w:w="3652"/>
      </w:tblGrid>
      <w:tr w:rsidR="003F51BA" w:rsidRPr="003F51BA" w:rsidTr="00F564A4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F564A4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213" w:type="dxa"/>
            <w:vMerge w:val="restart"/>
          </w:tcPr>
          <w:p w:rsidR="003F51BA" w:rsidRPr="003F51BA" w:rsidRDefault="001B6F95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F564A4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213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，共85所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 w:hint="eastAsia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>
        <w:rPr>
          <w:rFonts w:asciiTheme="minorHAnsi" w:eastAsia="標楷體" w:hAnsiTheme="minorHAnsi" w:cstheme="minorHAnsi" w:hint="eastAsia"/>
          <w:b/>
          <w:sz w:val="36"/>
          <w:szCs w:val="36"/>
        </w:rPr>
        <w:t>一零</w:t>
      </w:r>
      <w:r w:rsidR="00D76615">
        <w:rPr>
          <w:rFonts w:asciiTheme="minorHAnsi" w:eastAsia="標楷體" w:hAnsiTheme="minorHAnsi" w:cstheme="minorHAnsi" w:hint="eastAsia"/>
          <w:b/>
          <w:sz w:val="36"/>
          <w:szCs w:val="36"/>
        </w:rPr>
        <w:t>八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D76615">
        <w:rPr>
          <w:rFonts w:asciiTheme="minorHAnsi" w:eastAsia="標楷體" w:hAnsiTheme="minorHAnsi" w:cstheme="minorHAnsi" w:hint="eastAsia"/>
          <w:b/>
          <w:sz w:val="36"/>
          <w:szCs w:val="36"/>
        </w:rPr>
        <w:t>十月十八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  <w:bookmarkStart w:id="0" w:name="_GoBack"/>
      <w:bookmarkEnd w:id="0"/>
    </w:p>
    <w:p w:rsidR="00D76615" w:rsidRDefault="00D7661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2195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D76615" w:rsidRPr="00D76615" w:rsidTr="00921AB4">
        <w:trPr>
          <w:trHeight w:hRule="exact" w:val="295"/>
        </w:trPr>
        <w:tc>
          <w:tcPr>
            <w:tcW w:w="8675" w:type="dxa"/>
            <w:gridSpan w:val="5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附件： 108年臺灣學術電子書暨資料庫聯盟成員館(共計85所)</w:t>
            </w:r>
          </w:p>
        </w:tc>
      </w:tr>
      <w:tr w:rsidR="00D76615" w:rsidRPr="00D76615" w:rsidTr="00921AB4">
        <w:trPr>
          <w:trHeight w:hRule="exact" w:val="312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序號</w:t>
            </w: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單位名稱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序號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0"/>
              </w:rPr>
              <w:t>單位名稱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大同大學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健行學校財團法人健行科技大學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朝陽科技大學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中國文化大學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華夏學校財團法人華夏科技大學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元智大學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嘉藥學校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財團法人嘉南藥理大學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亞洲大學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輔英科技大學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東吳大學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德明財經科技大學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東海大學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龍華科技大學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長庚大學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國立虎尾科技大學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長榮大學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國立屏東科技大學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南華大學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國立高雄科技大學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真理大學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國立雲林科技大學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淡江大學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國立勤益科技大學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逢甲大學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中科技大學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開南大學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慈濟學校財團法人慈濟大學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實踐大學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59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國立澎湖科技大學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輔仁大學學校財團法人輔仁大學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空軍軍官學校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銘傳大學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國家圖書館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19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靜宜大學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中央研究院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臺北市立大學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大葉大學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國立中山大學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中華大學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國立中央大學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玄奘大學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國立中正大學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佛光大學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國立中興大學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義守大學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國立交通大學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北基督學院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國立成功大學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69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國立屏東大學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國立宜蘭大學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東大學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國立東華大學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國立臺灣藝術大學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29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國立政治大學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中華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醫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事科技大學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國立高雄大學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台南家專學校財團法人台南應用科技大學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國立清華大學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光宇學校財團法人元培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醫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事科技大學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國立嘉義大學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吳鳳學校財團法人吳鳳科技大學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國立彰化師範大學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76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明新學校財團法人明新科技大學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34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77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城市學校財團法人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北城市科技大學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35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北教育大學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78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經國管理暨健康學院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lastRenderedPageBreak/>
              <w:t>36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南大學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79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聖約翰科技大學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37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80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宏國學校財團法人宏國德霖科技大學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38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國立臺灣師範大學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81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樹德科技大學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39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國立臺灣海洋大學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82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國立高雄餐旅大學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40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國立聯合大學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83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國立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北護理健康大學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41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大仁科技大學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84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海軍軍官學校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42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南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學校財團法人南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臺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科技大學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85</w:t>
            </w:r>
          </w:p>
        </w:tc>
        <w:tc>
          <w:tcPr>
            <w:tcW w:w="3685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國防醫學院</w:t>
            </w:r>
          </w:p>
        </w:tc>
      </w:tr>
      <w:tr w:rsidR="00D76615" w:rsidRPr="00D76615" w:rsidTr="00921AB4">
        <w:trPr>
          <w:trHeight w:hRule="exact" w:val="340"/>
        </w:trPr>
        <w:tc>
          <w:tcPr>
            <w:tcW w:w="589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  <w:r w:rsidRPr="00D76615">
              <w:rPr>
                <w:rFonts w:ascii="微軟正黑體" w:eastAsia="微軟正黑體" w:hAnsi="微軟正黑體" w:cs="新細明體" w:hint="eastAsia"/>
                <w:sz w:val="20"/>
              </w:rPr>
              <w:t>43</w:t>
            </w:r>
          </w:p>
        </w:tc>
        <w:tc>
          <w:tcPr>
            <w:tcW w:w="3692" w:type="dxa"/>
            <w:shd w:val="clear" w:color="auto" w:fill="auto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76615">
              <w:rPr>
                <w:rFonts w:ascii="微軟正黑體" w:eastAsia="微軟正黑體" w:hAnsi="微軟正黑體" w:hint="eastAsia"/>
                <w:sz w:val="20"/>
              </w:rPr>
              <w:t>耕</w:t>
            </w:r>
            <w:proofErr w:type="gramStart"/>
            <w:r w:rsidRPr="00D76615">
              <w:rPr>
                <w:rFonts w:ascii="微軟正黑體" w:eastAsia="微軟正黑體" w:hAnsi="微軟正黑體" w:hint="eastAsia"/>
                <w:sz w:val="20"/>
              </w:rPr>
              <w:t>莘</w:t>
            </w:r>
            <w:proofErr w:type="gramEnd"/>
            <w:r w:rsidRPr="00D76615">
              <w:rPr>
                <w:rFonts w:ascii="微軟正黑體" w:eastAsia="微軟正黑體" w:hAnsi="微軟正黑體" w:hint="eastAsia"/>
                <w:sz w:val="20"/>
              </w:rPr>
              <w:t>健康管理專科學校</w:t>
            </w:r>
          </w:p>
        </w:tc>
        <w:tc>
          <w:tcPr>
            <w:tcW w:w="142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6615" w:rsidRPr="00D76615" w:rsidRDefault="00D76615" w:rsidP="00D76615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76615" w:rsidRPr="00D76615" w:rsidRDefault="00D76615" w:rsidP="00D7661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</w:rPr>
            </w:pPr>
          </w:p>
        </w:tc>
      </w:tr>
    </w:tbl>
    <w:p w:rsidR="00A463C8" w:rsidRDefault="00A463C8" w:rsidP="00A463C8">
      <w:pPr>
        <w:snapToGrid w:val="0"/>
        <w:jc w:val="center"/>
        <w:rPr>
          <w:rFonts w:asciiTheme="minorHAnsi" w:eastAsia="微軟正黑體" w:hAnsiTheme="minorHAnsi" w:cstheme="minorHAnsi" w:hint="eastAsia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 w:hint="eastAsia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5" w:rsidRDefault="001B6F95">
      <w:r>
        <w:separator/>
      </w:r>
    </w:p>
  </w:endnote>
  <w:endnote w:type="continuationSeparator" w:id="0">
    <w:p w:rsidR="001B6F95" w:rsidRDefault="001B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5" w:rsidRDefault="001B6F95">
      <w:r>
        <w:separator/>
      </w:r>
    </w:p>
  </w:footnote>
  <w:footnote w:type="continuationSeparator" w:id="0">
    <w:p w:rsidR="001B6F95" w:rsidRDefault="001B6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UnitName" w:val="F"/>
                              <w:attr w:name="SourceValue" w:val="3"/>
                              <w:attr w:name="HasSpace" w:val="Fals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1B6F95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1B6F95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F29"/>
    <w:rsid w:val="00DC53A9"/>
    <w:rsid w:val="00DD28CC"/>
    <w:rsid w:val="00DE1B2A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103C-7A39-408D-8CC1-F558FA51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1446</Characters>
  <Application>Microsoft Office Word</Application>
  <DocSecurity>0</DocSecurity>
  <Lines>12</Lines>
  <Paragraphs>3</Paragraphs>
  <ScaleCrop>false</ScaleCrop>
  <Company>iGroup Taiwan</Company>
  <LinksUpToDate>false</LinksUpToDate>
  <CharactersWithSpaces>1696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iGroup Taiwan-Penny Kuo</cp:lastModifiedBy>
  <cp:revision>4</cp:revision>
  <cp:lastPrinted>2015-11-02T01:35:00Z</cp:lastPrinted>
  <dcterms:created xsi:type="dcterms:W3CDTF">2019-10-17T02:47:00Z</dcterms:created>
  <dcterms:modified xsi:type="dcterms:W3CDTF">2019-10-17T03:56:00Z</dcterms:modified>
</cp:coreProperties>
</file>